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4C1AF" w14:textId="77777777" w:rsidR="0066267B" w:rsidRDefault="0066267B">
      <w:pPr>
        <w:spacing w:after="0" w:line="240" w:lineRule="auto"/>
        <w:rPr>
          <w:rFonts w:ascii="Arial" w:eastAsia="Arial" w:hAnsi="Arial" w:cs="Arial"/>
          <w:b/>
          <w:sz w:val="36"/>
          <w:szCs w:val="36"/>
        </w:rPr>
      </w:pPr>
    </w:p>
    <w:p w14:paraId="33A708ED" w14:textId="77777777" w:rsidR="0066267B" w:rsidRDefault="0067680F">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Order Schedule 10 (Exit Management)</w:t>
      </w:r>
    </w:p>
    <w:p w14:paraId="2A0E4856" w14:textId="77777777" w:rsidR="0066267B" w:rsidRDefault="006768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Definitions</w:t>
      </w:r>
    </w:p>
    <w:p w14:paraId="00F9D5BA" w14:textId="77777777" w:rsidR="0066267B" w:rsidRDefault="006768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7988"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66267B" w14:paraId="3E39EEF2" w14:textId="77777777">
        <w:tc>
          <w:tcPr>
            <w:tcW w:w="3060" w:type="dxa"/>
          </w:tcPr>
          <w:p w14:paraId="0B88E2D1"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1D721FC8"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66267B" w14:paraId="38E73ED3" w14:textId="77777777">
        <w:tc>
          <w:tcPr>
            <w:tcW w:w="3060" w:type="dxa"/>
          </w:tcPr>
          <w:p w14:paraId="4F908D59"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778B5FCD"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6267B" w14:paraId="5DB32062" w14:textId="77777777">
        <w:tc>
          <w:tcPr>
            <w:tcW w:w="3060" w:type="dxa"/>
          </w:tcPr>
          <w:p w14:paraId="1A61E82A"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39145FFC"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6267B" w14:paraId="71933588" w14:textId="77777777">
        <w:tc>
          <w:tcPr>
            <w:tcW w:w="3060" w:type="dxa"/>
          </w:tcPr>
          <w:p w14:paraId="3BEE47A3"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3F3F119B" w14:textId="77777777" w:rsidR="0066267B" w:rsidRDefault="0067680F">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6267B" w14:paraId="141381CA" w14:textId="77777777">
        <w:tc>
          <w:tcPr>
            <w:tcW w:w="3060" w:type="dxa"/>
          </w:tcPr>
          <w:p w14:paraId="37799486"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4E43A4BB"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DPS Application or Order Tender (if stated) or (if not stated) the depreciation policy of the Supplier (which the Supplier shall ensure is in accordance with Goo</w:t>
            </w:r>
            <w:r>
              <w:rPr>
                <w:rFonts w:ascii="Arial" w:eastAsia="Arial" w:hAnsi="Arial" w:cs="Arial"/>
                <w:color w:val="000000"/>
                <w:sz w:val="24"/>
                <w:szCs w:val="24"/>
              </w:rPr>
              <w:t>d Industry Practice);</w:t>
            </w:r>
          </w:p>
        </w:tc>
      </w:tr>
      <w:tr w:rsidR="0066267B" w14:paraId="09F1C463" w14:textId="77777777">
        <w:tc>
          <w:tcPr>
            <w:tcW w:w="3060" w:type="dxa"/>
          </w:tcPr>
          <w:p w14:paraId="4B66CC6B"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41BCFAE4"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66267B" w14:paraId="45D09377" w14:textId="77777777">
        <w:tc>
          <w:tcPr>
            <w:tcW w:w="3060" w:type="dxa"/>
          </w:tcPr>
          <w:p w14:paraId="1B07CF5A"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15AA6AD1"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regist</w:t>
            </w:r>
            <w:r>
              <w:rPr>
                <w:rFonts w:ascii="Arial" w:eastAsia="Arial" w:hAnsi="Arial" w:cs="Arial"/>
                <w:color w:val="000000"/>
                <w:sz w:val="24"/>
                <w:szCs w:val="24"/>
              </w:rPr>
              <w:t xml:space="preserve">er and configuration database referred to in Paragraph 2.2 of this Schedule; </w:t>
            </w:r>
          </w:p>
        </w:tc>
      </w:tr>
      <w:tr w:rsidR="0066267B" w14:paraId="1DEBC969" w14:textId="77777777">
        <w:tc>
          <w:tcPr>
            <w:tcW w:w="3060" w:type="dxa"/>
          </w:tcPr>
          <w:p w14:paraId="6DB61744"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7DA78023"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6267B" w14:paraId="34A2D49E" w14:textId="77777777">
        <w:tc>
          <w:tcPr>
            <w:tcW w:w="3060" w:type="dxa"/>
          </w:tcPr>
          <w:p w14:paraId="799A7D02"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bookmarkStart w:id="0" w:name="_heading=h.gjdgxs" w:colFirst="0" w:colLast="0"/>
            <w:bookmarkEnd w:id="0"/>
            <w:r>
              <w:rPr>
                <w:rFonts w:ascii="Arial" w:eastAsia="Arial" w:hAnsi="Arial" w:cs="Arial"/>
                <w:b/>
                <w:color w:val="000000"/>
                <w:sz w:val="24"/>
                <w:szCs w:val="24"/>
              </w:rPr>
              <w:t>"Replacement Servic</w:t>
            </w:r>
            <w:r>
              <w:rPr>
                <w:rFonts w:ascii="Arial" w:eastAsia="Arial" w:hAnsi="Arial" w:cs="Arial"/>
                <w:b/>
                <w:color w:val="000000"/>
                <w:sz w:val="24"/>
                <w:szCs w:val="24"/>
              </w:rPr>
              <w:t>es"</w:t>
            </w:r>
          </w:p>
        </w:tc>
        <w:tc>
          <w:tcPr>
            <w:tcW w:w="4928" w:type="dxa"/>
          </w:tcPr>
          <w:p w14:paraId="36BABAF3"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66267B" w14:paraId="35669622" w14:textId="77777777">
        <w:tc>
          <w:tcPr>
            <w:tcW w:w="3060" w:type="dxa"/>
          </w:tcPr>
          <w:p w14:paraId="65C39128"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14:paraId="1AA48A9E"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66267B" w14:paraId="25A94E17" w14:textId="77777777">
        <w:tc>
          <w:tcPr>
            <w:tcW w:w="3060" w:type="dxa"/>
          </w:tcPr>
          <w:p w14:paraId="3B9A5BD0"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2BC0FCA7"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6267B" w14:paraId="3B60B7E4" w14:textId="77777777">
        <w:tc>
          <w:tcPr>
            <w:tcW w:w="3060" w:type="dxa"/>
          </w:tcPr>
          <w:p w14:paraId="6B257D67" w14:textId="77777777" w:rsidR="0066267B" w:rsidRDefault="0067680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1848C956"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6267B" w14:paraId="4975D26F" w14:textId="77777777">
        <w:tc>
          <w:tcPr>
            <w:tcW w:w="3060" w:type="dxa"/>
          </w:tcPr>
          <w:p w14:paraId="087B82E5"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05592F3C"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6267B" w14:paraId="43D9F74A" w14:textId="77777777">
        <w:tc>
          <w:tcPr>
            <w:tcW w:w="3060" w:type="dxa"/>
          </w:tcPr>
          <w:p w14:paraId="4816CAA9"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2D69832C"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w:t>
            </w:r>
            <w:r>
              <w:rPr>
                <w:rFonts w:ascii="Arial" w:eastAsia="Arial" w:hAnsi="Arial" w:cs="Arial"/>
                <w:color w:val="000000"/>
                <w:sz w:val="24"/>
                <w:szCs w:val="24"/>
              </w:rPr>
              <w:t>upplier to provide the Deliverables or the Replacement Goods and/or Replacement Services, including in relation to licences all relevant Documentation;</w:t>
            </w:r>
          </w:p>
        </w:tc>
      </w:tr>
      <w:tr w:rsidR="0066267B" w14:paraId="267BF047" w14:textId="77777777">
        <w:tc>
          <w:tcPr>
            <w:tcW w:w="3060" w:type="dxa"/>
          </w:tcPr>
          <w:p w14:paraId="1BF0B697"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7C997720"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6267B" w14:paraId="087D84A5" w14:textId="77777777">
        <w:tc>
          <w:tcPr>
            <w:tcW w:w="3060" w:type="dxa"/>
          </w:tcPr>
          <w:p w14:paraId="7BBD8BC3" w14:textId="77777777" w:rsidR="0066267B" w:rsidRDefault="0067680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31A7ABFB" w14:textId="77777777" w:rsidR="0066267B" w:rsidRDefault="0067680F">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525653DB" w14:textId="77777777" w:rsidR="0066267B" w:rsidRDefault="006768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Supplier must always be prepared for contract exit </w:t>
      </w:r>
    </w:p>
    <w:p w14:paraId="54DBCEF3"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0F9F2AAE" w14:textId="77777777" w:rsidR="0066267B" w:rsidRDefault="006768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During the Contract Period, the Supplier shall promptly:</w:t>
      </w:r>
    </w:p>
    <w:p w14:paraId="683505FD"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w:t>
      </w:r>
      <w:r>
        <w:rPr>
          <w:rFonts w:ascii="Arial" w:eastAsia="Arial" w:hAnsi="Arial" w:cs="Arial"/>
          <w:color w:val="000000"/>
          <w:sz w:val="24"/>
          <w:szCs w:val="24"/>
        </w:rPr>
        <w:t>ments required in connection with the Deliverables; and</w:t>
      </w:r>
    </w:p>
    <w:p w14:paraId="55339E44"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14:paraId="384B6B00" w14:textId="77777777" w:rsidR="0066267B" w:rsidRDefault="0067680F">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40549FBD" w14:textId="77777777" w:rsidR="0066267B" w:rsidRDefault="006768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0980ED1B"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3214D750"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w:t>
      </w:r>
      <w:r>
        <w:rPr>
          <w:rFonts w:ascii="Arial" w:eastAsia="Arial" w:hAnsi="Arial" w:cs="Arial"/>
          <w:color w:val="000000"/>
          <w:sz w:val="24"/>
          <w:szCs w:val="24"/>
        </w:rPr>
        <w:t>or restriction to the Buyer) at the request of the Buyer to the Buyer (and/or its nominee) and/or any Replacement Supplier upon the Supplier ceasing to provide the Deliverables (or part of them) and if the Supplier is unable to do so then the Supplier shal</w:t>
      </w:r>
      <w:r>
        <w:rPr>
          <w:rFonts w:ascii="Arial" w:eastAsia="Arial" w:hAnsi="Arial" w:cs="Arial"/>
          <w:color w:val="000000"/>
          <w:sz w:val="24"/>
          <w:szCs w:val="24"/>
        </w:rPr>
        <w:t xml:space="preserve">l promptly notify the Buyer and the Buyer may require the Supplier to procure an alternative Subcontractor or provider of Deliverables. </w:t>
      </w:r>
    </w:p>
    <w:p w14:paraId="6494DBDF"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3DC3E29D" w14:textId="77777777" w:rsidR="0066267B" w:rsidRDefault="006768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Assisting re-competition for Deliv</w:t>
      </w:r>
      <w:r>
        <w:rPr>
          <w:rFonts w:ascii="Arial" w:eastAsia="Arial" w:hAnsi="Arial" w:cs="Arial"/>
          <w:b/>
          <w:color w:val="000000"/>
          <w:sz w:val="24"/>
          <w:szCs w:val="24"/>
        </w:rPr>
        <w:t xml:space="preserve">erables </w:t>
      </w:r>
    </w:p>
    <w:p w14:paraId="1ED96A64"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15D35180"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14:paraId="66EA66CD"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14:paraId="4976B55E"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14:paraId="6A18AA64" w14:textId="77777777" w:rsidR="0066267B" w:rsidRDefault="006768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Exit Plan</w:t>
      </w:r>
    </w:p>
    <w:p w14:paraId="4F4DB6F6"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Supplier shall, within three (3) Months after the Start Date, deliver to the Buyer an Exit Plan which complies with the requir</w:t>
      </w:r>
      <w:r>
        <w:rPr>
          <w:rFonts w:ascii="Arial" w:eastAsia="Arial" w:hAnsi="Arial" w:cs="Arial"/>
          <w:color w:val="000000"/>
          <w:sz w:val="24"/>
          <w:szCs w:val="24"/>
        </w:rPr>
        <w:t xml:space="preserve">ements set out in </w:t>
      </w:r>
      <w:r>
        <w:rPr>
          <w:rFonts w:ascii="Arial" w:eastAsia="Arial" w:hAnsi="Arial" w:cs="Arial"/>
          <w:color w:val="000000"/>
          <w:sz w:val="24"/>
          <w:szCs w:val="24"/>
        </w:rPr>
        <w:lastRenderedPageBreak/>
        <w:t>Paragraph 4.3 of this Schedule and is otherwise reasonably satisfactory to the Buyer.</w:t>
      </w:r>
    </w:p>
    <w:p w14:paraId="7370E623"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Parties shall use reasonable endeavours to agree the contents of the Exit Plan. If the Parties are unable to agree the contents of the Exit Plan 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14:paraId="4D39C6B3" w14:textId="77777777" w:rsidR="0066267B" w:rsidRDefault="006768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Exit Plan shall set out, as a minimum:</w:t>
      </w:r>
    </w:p>
    <w:p w14:paraId="3C888FC7"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5E009B76"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5858D35C"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w:t>
      </w:r>
      <w:r>
        <w:rPr>
          <w:rFonts w:ascii="Arial" w:eastAsia="Arial" w:hAnsi="Arial" w:cs="Arial"/>
          <w:color w:val="000000"/>
          <w:sz w:val="24"/>
          <w:szCs w:val="24"/>
        </w:rPr>
        <w:t xml:space="preserve">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62B153ED"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w:t>
      </w:r>
      <w:r>
        <w:rPr>
          <w:rFonts w:ascii="Arial" w:eastAsia="Arial" w:hAnsi="Arial" w:cs="Arial"/>
          <w:color w:val="000000"/>
          <w:sz w:val="24"/>
          <w:szCs w:val="24"/>
        </w:rPr>
        <w:t>he continuation of the provision of the Deliverables following the Expiry Date;</w:t>
      </w:r>
    </w:p>
    <w:p w14:paraId="47ED8D54"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Deliverables and required for their continued u</w:t>
      </w:r>
      <w:r>
        <w:rPr>
          <w:rFonts w:ascii="Arial" w:eastAsia="Arial" w:hAnsi="Arial" w:cs="Arial"/>
          <w:color w:val="000000"/>
          <w:sz w:val="24"/>
          <w:szCs w:val="24"/>
        </w:rPr>
        <w:t xml:space="preserve">se; </w:t>
      </w:r>
    </w:p>
    <w:p w14:paraId="7F53AE5F"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48557111"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the identification and return of all Buyer Property in the possession of and/or control of the Supplier </w:t>
      </w:r>
      <w:r>
        <w:rPr>
          <w:rFonts w:ascii="Arial" w:eastAsia="Arial" w:hAnsi="Arial" w:cs="Arial"/>
          <w:color w:val="000000"/>
          <w:sz w:val="24"/>
          <w:szCs w:val="24"/>
        </w:rPr>
        <w:t>or any third party;</w:t>
      </w:r>
    </w:p>
    <w:p w14:paraId="10DF6B13"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661B7FD5"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4803F69B"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w:t>
      </w:r>
      <w:r>
        <w:rPr>
          <w:rFonts w:ascii="Arial" w:eastAsia="Arial" w:hAnsi="Arial" w:cs="Arial"/>
          <w:color w:val="000000"/>
          <w:sz w:val="24"/>
          <w:szCs w:val="24"/>
        </w:rPr>
        <w:t>r assistance reasonably required by the Buyer or a Replacement Supplier.</w:t>
      </w:r>
    </w:p>
    <w:p w14:paraId="5B18652F" w14:textId="77777777" w:rsidR="0066267B" w:rsidRDefault="006768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The Supplier shall:</w:t>
      </w:r>
    </w:p>
    <w:p w14:paraId="51EEA3D9" w14:textId="77777777" w:rsidR="0066267B" w:rsidRDefault="0067680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4B10ABA0" w14:textId="77777777" w:rsidR="0066267B" w:rsidRDefault="006768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14:paraId="5994F343" w14:textId="77777777" w:rsidR="0066267B" w:rsidRDefault="006768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14:paraId="42453EE3" w14:textId="77777777" w:rsidR="0066267B" w:rsidRDefault="006768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14:paraId="758A535E" w14:textId="77777777" w:rsidR="0066267B" w:rsidRDefault="006768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56AD333C"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jointly review and verify the Exit Plan if </w:t>
      </w:r>
      <w:r>
        <w:rPr>
          <w:rFonts w:ascii="Arial" w:eastAsia="Arial" w:hAnsi="Arial" w:cs="Arial"/>
          <w:color w:val="000000"/>
          <w:sz w:val="24"/>
          <w:szCs w:val="24"/>
        </w:rPr>
        <w:t>required by the Buyer and promptly correct any identified failures.</w:t>
      </w:r>
    </w:p>
    <w:p w14:paraId="4D9368D3"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2B29534D"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14:paraId="6B6D72FB" w14:textId="77777777" w:rsidR="0066267B" w:rsidRDefault="006768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 xml:space="preserve">Termination Assistance </w:t>
      </w:r>
    </w:p>
    <w:p w14:paraId="60E1085C"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be entitled to require the provision of Termination Assistance at any time during the Contract Period by giving written noti</w:t>
      </w:r>
      <w:r>
        <w:rPr>
          <w:rFonts w:ascii="Arial" w:eastAsia="Arial" w:hAnsi="Arial" w:cs="Arial"/>
          <w:color w:val="000000"/>
          <w:sz w:val="24"/>
          <w:szCs w:val="24"/>
        </w:rPr>
        <w:t xml:space="preserve">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w:t>
      </w:r>
      <w:r>
        <w:rPr>
          <w:rFonts w:ascii="Arial" w:eastAsia="Arial" w:hAnsi="Arial" w:cs="Arial"/>
          <w:color w:val="000000"/>
          <w:sz w:val="24"/>
          <w:szCs w:val="24"/>
        </w:rPr>
        <w:t>e Termination Assistance Notice shall specify:</w:t>
      </w:r>
    </w:p>
    <w:p w14:paraId="340A90F5"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1467D130"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start date and initial period during which it is anticipated that Termination Assistance will be required, which shall continue no longer than twelve </w:t>
      </w:r>
      <w:r>
        <w:rPr>
          <w:rFonts w:ascii="Arial" w:eastAsia="Arial" w:hAnsi="Arial" w:cs="Arial"/>
          <w:color w:val="000000"/>
          <w:sz w:val="24"/>
          <w:szCs w:val="24"/>
        </w:rPr>
        <w:t>(12) Months after the End Date.</w:t>
      </w:r>
    </w:p>
    <w:p w14:paraId="6DD0CB2B"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7E0F1B51"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2497E571"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notify the Supplier of any such extension no later than twenty (20) Working Days prior to the date on which the Ter</w:t>
      </w:r>
      <w:r>
        <w:rPr>
          <w:rFonts w:ascii="Arial" w:eastAsia="Arial" w:hAnsi="Arial" w:cs="Arial"/>
          <w:color w:val="000000"/>
          <w:sz w:val="24"/>
          <w:szCs w:val="24"/>
        </w:rPr>
        <w:t xml:space="preserve">mination Assistance Period is otherwise due to expire. </w:t>
      </w:r>
    </w:p>
    <w:p w14:paraId="7249F2FE" w14:textId="77777777" w:rsidR="0066267B" w:rsidRDefault="0067680F">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19FBFD67"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w:t>
      </w:r>
      <w:r>
        <w:rPr>
          <w:rFonts w:ascii="Arial" w:eastAsia="Arial" w:hAnsi="Arial" w:cs="Arial"/>
          <w:color w:val="000000"/>
          <w:sz w:val="24"/>
          <w:szCs w:val="24"/>
        </w:rPr>
        <w:t>tance is required by the Buyer but at the relevant time the parties are still agreeing an update to the Exit Plan pursuant to Paragraph 4, the Supplier will provide the Termination Assistance in good faith and in accordance with the principles in this Sche</w:t>
      </w:r>
      <w:r>
        <w:rPr>
          <w:rFonts w:ascii="Arial" w:eastAsia="Arial" w:hAnsi="Arial" w:cs="Arial"/>
          <w:color w:val="000000"/>
          <w:sz w:val="24"/>
          <w:szCs w:val="24"/>
        </w:rPr>
        <w:t>dule and the last Buyer approved version of the Exit Plan (insofar as it still applies).</w:t>
      </w:r>
    </w:p>
    <w:p w14:paraId="73350718" w14:textId="77777777" w:rsidR="0066267B" w:rsidRDefault="0067680F">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lastRenderedPageBreak/>
        <w:t xml:space="preserve">Termination Assistance Period </w:t>
      </w:r>
    </w:p>
    <w:p w14:paraId="545E2A24" w14:textId="77777777" w:rsidR="0066267B" w:rsidRDefault="0067680F">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3B837BD3"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3E3211D6"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provide to the Buyer and/or its Replacement Supplier any reasonable assistance</w:t>
      </w:r>
      <w:r>
        <w:rPr>
          <w:rFonts w:ascii="Arial" w:eastAsia="Arial" w:hAnsi="Arial" w:cs="Arial"/>
          <w:color w:val="000000"/>
          <w:sz w:val="24"/>
          <w:szCs w:val="24"/>
        </w:rPr>
        <w:t xml:space="preserve"> and/or access requested by the Buyer and/or its Replacement Supplier including assistance and/or access to facilitate the orderly transfer of responsibility for and conduct of the Deliverables to the Buyer and/or its Replacement Supplier;</w:t>
      </w:r>
    </w:p>
    <w:p w14:paraId="21E323D3"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use all reasonab</w:t>
      </w:r>
      <w:r>
        <w:rPr>
          <w:rFonts w:ascii="Arial" w:eastAsia="Arial" w:hAnsi="Arial" w:cs="Arial"/>
          <w:color w:val="000000"/>
          <w:sz w:val="24"/>
          <w:szCs w:val="24"/>
        </w:rPr>
        <w:t>le endeavours to reallocate resources to provide such assistance without additional costs to the Buyer;</w:t>
      </w:r>
    </w:p>
    <w:p w14:paraId="21E20A67"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subject to Paragraph 6.3, provide the Deliverables and the Termination Assistance at no detriment to the Performance Indicators (PI’s) or Service Levels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14:paraId="77B5E675"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at the Buyer's request and on reasonable notice, deliver up-to-date Registers to the Buyer;</w:t>
      </w:r>
    </w:p>
    <w:p w14:paraId="18571CEE"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w:t>
      </w:r>
      <w:r>
        <w:rPr>
          <w:rFonts w:ascii="Arial" w:eastAsia="Arial" w:hAnsi="Arial" w:cs="Arial"/>
          <w:color w:val="000000"/>
          <w:sz w:val="24"/>
          <w:szCs w:val="24"/>
        </w:rPr>
        <w:t>en consent to access any Buyer Premises from which the de-installation or removal of Supplier Assets is required.</w:t>
      </w:r>
    </w:p>
    <w:p w14:paraId="60FD84D7"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14:paraId="78DE16A6"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14:paraId="7B17E9BE" w14:textId="77777777" w:rsidR="0066267B" w:rsidRDefault="006768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Obligations when the contract is terminated  </w:t>
      </w:r>
    </w:p>
    <w:p w14:paraId="5F6F1F93"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The Supplier shall comply with all of its obligations contained in the Exit Plan.</w:t>
      </w:r>
    </w:p>
    <w:p w14:paraId="451B267D" w14:textId="77777777" w:rsidR="0066267B" w:rsidRDefault="006768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Up</w:t>
      </w:r>
      <w:r>
        <w:rPr>
          <w:rFonts w:ascii="Arial" w:eastAsia="Arial" w:hAnsi="Arial" w:cs="Arial"/>
          <w:color w:val="000000"/>
          <w:sz w:val="24"/>
          <w:szCs w:val="24"/>
        </w:rPr>
        <w:t>on termination or expiry or at the end of the Termination Assistance Period (or earlier if this does not adversely affect the Supplier's performance of the Deliverables and the Termination Assistance), the Supplier shall:</w:t>
      </w:r>
    </w:p>
    <w:p w14:paraId="3DA06C51"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4E683046"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w:t>
      </w:r>
      <w:r>
        <w:rPr>
          <w:rFonts w:ascii="Arial" w:eastAsia="Arial" w:hAnsi="Arial" w:cs="Arial"/>
          <w:color w:val="000000"/>
          <w:sz w:val="24"/>
          <w:szCs w:val="24"/>
        </w:rPr>
        <w:t xml:space="preserve"> damage to the Sites or any objects contained thereon, other than fair wear and tear, which is caused by the Supplier; </w:t>
      </w:r>
    </w:p>
    <w:p w14:paraId="0E10C6E6" w14:textId="77777777" w:rsidR="0066267B" w:rsidRDefault="0067680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lastRenderedPageBreak/>
        <w:t>provide access during normal working hours to the Buyer and/or the Replacement Supplier for up to twelve (12) Months after expiry or ter</w:t>
      </w:r>
      <w:r>
        <w:rPr>
          <w:rFonts w:ascii="Arial" w:eastAsia="Arial" w:hAnsi="Arial" w:cs="Arial"/>
          <w:color w:val="000000"/>
          <w:sz w:val="24"/>
          <w:szCs w:val="24"/>
        </w:rPr>
        <w:t>mination to:</w:t>
      </w:r>
    </w:p>
    <w:p w14:paraId="34AB1463" w14:textId="77777777" w:rsidR="0066267B" w:rsidRDefault="006768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2239E199" w14:textId="77777777" w:rsidR="0066267B" w:rsidRDefault="006768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 xml:space="preserve">such members of the Supplier Staff as have been involved in the design, development and provision of the Deliverables and who are still </w:t>
      </w:r>
      <w:r>
        <w:rPr>
          <w:rFonts w:ascii="Arial" w:eastAsia="Arial" w:hAnsi="Arial" w:cs="Arial"/>
          <w:color w:val="000000"/>
          <w:sz w:val="24"/>
          <w:szCs w:val="24"/>
        </w:rPr>
        <w:t>employed by the Supplier, provided that the Buyer and/or the Replacement Supplier shall pay the reasonable costs of the Supplier actually incurred in responding to such requests for access.</w:t>
      </w:r>
    </w:p>
    <w:p w14:paraId="219076F0"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3E2F8C2F" w14:textId="77777777" w:rsidR="0066267B" w:rsidRDefault="006768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Assets, Sub-contr</w:t>
      </w:r>
      <w:r>
        <w:rPr>
          <w:rFonts w:ascii="Arial" w:eastAsia="Arial" w:hAnsi="Arial" w:cs="Arial"/>
          <w:b/>
          <w:color w:val="000000"/>
          <w:sz w:val="24"/>
          <w:szCs w:val="24"/>
        </w:rPr>
        <w:t>acts and Software</w:t>
      </w:r>
    </w:p>
    <w:p w14:paraId="4121CD5A" w14:textId="77777777" w:rsidR="0066267B" w:rsidRDefault="006768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48CFCD36"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67007073"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w:t>
      </w:r>
      <w:r>
        <w:rPr>
          <w:rFonts w:ascii="Arial" w:eastAsia="Arial" w:hAnsi="Arial" w:cs="Arial"/>
          <w:color w:val="000000"/>
          <w:sz w:val="24"/>
          <w:szCs w:val="24"/>
        </w:rPr>
        <w:t>upplier Assets.</w:t>
      </w:r>
    </w:p>
    <w:p w14:paraId="16E6D1D5" w14:textId="77777777" w:rsidR="0066267B" w:rsidRDefault="006768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14:paraId="300C9AFE"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6EA2C81B" w14:textId="77777777" w:rsidR="0066267B" w:rsidRDefault="0067680F">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rPr>
        <w:t>which, if any, of:</w:t>
      </w:r>
    </w:p>
    <w:p w14:paraId="75E398BC" w14:textId="77777777" w:rsidR="0066267B" w:rsidRDefault="006768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376757E9" w14:textId="77777777" w:rsidR="0066267B" w:rsidRDefault="0067680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12A469FA" w14:textId="77777777" w:rsidR="0066267B" w:rsidRDefault="0067680F">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4882579D"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w:t>
      </w:r>
      <w:r>
        <w:rPr>
          <w:rFonts w:ascii="Arial" w:eastAsia="Arial" w:hAnsi="Arial" w:cs="Arial"/>
          <w:color w:val="000000"/>
          <w:sz w:val="24"/>
          <w:szCs w:val="24"/>
        </w:rPr>
        <w:t xml:space="preserve">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4B67F9ED" w14:textId="77777777" w:rsidR="0066267B" w:rsidRDefault="0067680F">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14:paraId="6EEBD568"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14:paraId="6866EE97"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w:t>
      </w:r>
      <w:r>
        <w:rPr>
          <w:rFonts w:ascii="Arial" w:eastAsia="Arial" w:hAnsi="Arial" w:cs="Arial"/>
          <w:color w:val="000000"/>
          <w:sz w:val="24"/>
          <w:szCs w:val="24"/>
        </w:rPr>
        <w:t>e end of the Termination Assistance Period and title shall pass on payment for them.</w:t>
      </w:r>
    </w:p>
    <w:p w14:paraId="4FDC01C7" w14:textId="77777777" w:rsidR="0066267B" w:rsidRDefault="006768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w:t>
      </w:r>
      <w:r>
        <w:rPr>
          <w:rFonts w:ascii="Arial" w:eastAsia="Arial" w:hAnsi="Arial" w:cs="Arial"/>
          <w:color w:val="000000"/>
          <w:sz w:val="24"/>
          <w:szCs w:val="24"/>
        </w:rPr>
        <w:t>hall as soon as reasonably practicable:</w:t>
      </w:r>
    </w:p>
    <w:p w14:paraId="463D10D9"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2FBC41B4"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w:t>
      </w:r>
      <w:r>
        <w:rPr>
          <w:rFonts w:ascii="Arial" w:eastAsia="Arial" w:hAnsi="Arial" w:cs="Arial"/>
          <w:color w:val="000000"/>
          <w:sz w:val="24"/>
          <w:szCs w:val="24"/>
        </w:rPr>
        <w:t>er or the Replacement Supplier to bear the reasonable proven costs of procuring the same.</w:t>
      </w:r>
    </w:p>
    <w:p w14:paraId="64316D4E"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w:t>
      </w:r>
      <w:r>
        <w:rPr>
          <w:rFonts w:ascii="Arial" w:eastAsia="Arial" w:hAnsi="Arial" w:cs="Arial"/>
          <w:color w:val="000000"/>
          <w:sz w:val="24"/>
          <w:szCs w:val="24"/>
        </w:rPr>
        <w:t xml:space="preserve">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573B3E26" w14:textId="77777777" w:rsidR="0066267B" w:rsidRDefault="006768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14:paraId="16CC1877"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14:paraId="2ED34CD9"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14:paraId="7B37DC79"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14:paraId="2911FE47"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14:paraId="3254A80F" w14:textId="77777777" w:rsidR="0066267B" w:rsidRDefault="006768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lastRenderedPageBreak/>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14:paraId="74C01F1D" w14:textId="77777777" w:rsidR="0066267B" w:rsidRDefault="0067680F">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0976894F" w14:textId="77777777" w:rsidR="0066267B" w:rsidRDefault="0067680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 xml:space="preserve">ividing the bills </w:t>
      </w:r>
    </w:p>
    <w:p w14:paraId="237E5339" w14:textId="77777777" w:rsidR="0066267B" w:rsidRDefault="0067680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14:paraId="404B7C09"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2AE2464E"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w:t>
      </w:r>
      <w:r>
        <w:rPr>
          <w:rFonts w:ascii="Arial" w:eastAsia="Arial" w:hAnsi="Arial" w:cs="Arial"/>
          <w:color w:val="000000"/>
          <w:sz w:val="24"/>
          <w:szCs w:val="24"/>
        </w:rPr>
        <w:t>e days following the transfer, multiplied by the daily rate; and</w:t>
      </w:r>
    </w:p>
    <w:p w14:paraId="45AFDA6E" w14:textId="77777777" w:rsidR="0066267B" w:rsidRDefault="0067680F">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065B7B5E" w14:textId="77777777" w:rsidR="0066267B" w:rsidRDefault="0066267B">
      <w:pPr>
        <w:rPr>
          <w:rFonts w:ascii="Arial" w:eastAsia="Arial" w:hAnsi="Arial" w:cs="Arial"/>
          <w:sz w:val="24"/>
          <w:szCs w:val="24"/>
        </w:rPr>
      </w:pPr>
    </w:p>
    <w:p w14:paraId="7E986A9C" w14:textId="77777777" w:rsidR="0066267B" w:rsidRDefault="0066267B">
      <w:pPr>
        <w:rPr>
          <w:rFonts w:ascii="Arial" w:eastAsia="Arial" w:hAnsi="Arial" w:cs="Arial"/>
          <w:sz w:val="24"/>
          <w:szCs w:val="24"/>
        </w:rPr>
      </w:pPr>
    </w:p>
    <w:sectPr w:rsidR="0066267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A3926" w14:textId="77777777" w:rsidR="0067680F" w:rsidRDefault="0067680F">
      <w:pPr>
        <w:spacing w:after="0" w:line="240" w:lineRule="auto"/>
      </w:pPr>
      <w:r>
        <w:separator/>
      </w:r>
    </w:p>
  </w:endnote>
  <w:endnote w:type="continuationSeparator" w:id="0">
    <w:p w14:paraId="4877C356" w14:textId="77777777" w:rsidR="0067680F" w:rsidRDefault="00676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D97E" w14:textId="77777777" w:rsidR="0066267B" w:rsidRDefault="0066267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1F1A79D6" w14:textId="77777777" w:rsidR="0066267B" w:rsidRDefault="006768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w:t>
    </w:r>
    <w:r>
      <w:rPr>
        <w:rFonts w:ascii="Arial" w:eastAsia="Arial" w:hAnsi="Arial" w:cs="Arial"/>
        <w:sz w:val="20"/>
        <w:szCs w:val="20"/>
      </w:rPr>
      <w:t>6296 Occupational Health and Related Services</w:t>
    </w:r>
  </w:p>
  <w:p w14:paraId="55C0D005" w14:textId="77777777" w:rsidR="0066267B" w:rsidRDefault="006768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960C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0F94261" w14:textId="77777777" w:rsidR="0066267B" w:rsidRDefault="006768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w:t>
    </w:r>
    <w:bookmarkStart w:id="39" w:name="bookmark=id.vx1227" w:colFirst="0" w:colLast="0"/>
    <w:bookmarkEnd w:id="39"/>
    <w:r>
      <w:rPr>
        <w:rFonts w:ascii="Arial" w:eastAsia="Arial" w:hAnsi="Arial" w:cs="Arial"/>
        <w:color w:val="000000"/>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3C9B2" w14:textId="77777777" w:rsidR="0066267B" w:rsidRDefault="0066267B">
    <w:pPr>
      <w:tabs>
        <w:tab w:val="center" w:pos="4513"/>
        <w:tab w:val="right" w:pos="9026"/>
      </w:tabs>
      <w:spacing w:after="0"/>
      <w:rPr>
        <w:rFonts w:ascii="Arial" w:eastAsia="Arial" w:hAnsi="Arial" w:cs="Arial"/>
        <w:color w:val="A6A6A6"/>
        <w:sz w:val="20"/>
        <w:szCs w:val="20"/>
      </w:rPr>
    </w:pPr>
  </w:p>
  <w:p w14:paraId="596DAECB" w14:textId="77777777" w:rsidR="0066267B" w:rsidRDefault="0067680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5FD788C5" w14:textId="77777777" w:rsidR="0066267B" w:rsidRDefault="0067680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6AA6E467" w14:textId="77777777" w:rsidR="0066267B" w:rsidRDefault="0067680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6DE56" w14:textId="77777777" w:rsidR="0067680F" w:rsidRDefault="0067680F">
      <w:pPr>
        <w:spacing w:after="0" w:line="240" w:lineRule="auto"/>
      </w:pPr>
      <w:r>
        <w:separator/>
      </w:r>
    </w:p>
  </w:footnote>
  <w:footnote w:type="continuationSeparator" w:id="0">
    <w:p w14:paraId="4D316BC5" w14:textId="77777777" w:rsidR="0067680F" w:rsidRDefault="006768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6230" w14:textId="77777777" w:rsidR="0066267B" w:rsidRDefault="006768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10 (Exit Management)</w:t>
    </w:r>
  </w:p>
  <w:p w14:paraId="40EDC905" w14:textId="77777777" w:rsidR="0066267B" w:rsidRDefault="006768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7D4588C6" w14:textId="77777777" w:rsidR="0066267B" w:rsidRDefault="006768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sz w:val="20"/>
        <w:szCs w:val="20"/>
      </w:rPr>
      <w:t>2023</w:t>
    </w:r>
  </w:p>
  <w:p w14:paraId="6F9D0A77" w14:textId="77777777" w:rsidR="0066267B" w:rsidRDefault="0066267B">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13701"/>
    <w:multiLevelType w:val="multilevel"/>
    <w:tmpl w:val="B6E29314"/>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D7D27DE"/>
    <w:multiLevelType w:val="multilevel"/>
    <w:tmpl w:val="677C94CA"/>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6EE47283"/>
    <w:multiLevelType w:val="multilevel"/>
    <w:tmpl w:val="A532045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67B"/>
    <w:rsid w:val="000960C5"/>
    <w:rsid w:val="0066267B"/>
    <w:rsid w:val="006768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D8668"/>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130970"/>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Revision">
    <w:name w:val="Revision"/>
    <w:hidden/>
    <w:uiPriority w:val="99"/>
    <w:semiHidden/>
    <w:rsid w:val="00130970"/>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sLDioIJcxIq4iGmCVFUGKfLXX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ThhemFfTmpnSmcyOTlVOEFqeGw5cDZOZUFFR2lwb05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2859</Words>
  <Characters>16298</Characters>
  <Application>Microsoft Office Word</Application>
  <DocSecurity>0</DocSecurity>
  <Lines>135</Lines>
  <Paragraphs>38</Paragraphs>
  <ScaleCrop>false</ScaleCrop>
  <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Sarah Nolan</cp:lastModifiedBy>
  <cp:revision>2</cp:revision>
  <dcterms:created xsi:type="dcterms:W3CDTF">2026-01-29T16:51:00Z</dcterms:created>
  <dcterms:modified xsi:type="dcterms:W3CDTF">2026-01-29T16:51:00Z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